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89406B">
        <w:rPr>
          <w:rFonts w:ascii="Times New Roman" w:hAnsi="Times New Roman" w:cs="Times New Roman"/>
          <w:sz w:val="28"/>
          <w:szCs w:val="28"/>
        </w:rPr>
        <w:t>5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89406B">
        <w:rPr>
          <w:rFonts w:ascii="Times New Roman" w:hAnsi="Times New Roman" w:cs="Times New Roman"/>
          <w:sz w:val="28"/>
          <w:szCs w:val="28"/>
        </w:rPr>
        <w:t>22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89406B" w:rsidRPr="0089406B">
        <w:rPr>
          <w:rFonts w:ascii="Times New Roman" w:hAnsi="Times New Roman" w:cs="Times New Roman"/>
          <w:sz w:val="28"/>
          <w:szCs w:val="28"/>
        </w:rPr>
        <w:t>Управление качеств</w:t>
      </w:r>
      <w:r w:rsidR="0089406B">
        <w:rPr>
          <w:rFonts w:ascii="Times New Roman" w:hAnsi="Times New Roman" w:cs="Times New Roman"/>
          <w:sz w:val="28"/>
          <w:szCs w:val="28"/>
        </w:rPr>
        <w:t xml:space="preserve">ом продукции. Стандартизация. </w:t>
      </w:r>
      <w:r w:rsidR="0089406B" w:rsidRPr="0089406B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766661" w:rsidRPr="00305327" w:rsidTr="00766661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66661" w:rsidRPr="00305327" w:rsidTr="00766661">
        <w:trPr>
          <w:jc w:val="center"/>
        </w:trPr>
        <w:tc>
          <w:tcPr>
            <w:tcW w:w="501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766661" w:rsidRDefault="00766661" w:rsidP="0076666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766661" w:rsidRDefault="00766661" w:rsidP="007666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0665AA" w:rsidRPr="005F49F1" w:rsidTr="00766661">
        <w:trPr>
          <w:trHeight w:val="543"/>
          <w:jc w:val="center"/>
        </w:trPr>
        <w:tc>
          <w:tcPr>
            <w:tcW w:w="501" w:type="pct"/>
          </w:tcPr>
          <w:p w:rsidR="000665AA" w:rsidRPr="00D00D60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Pr="00D00D60" w:rsidRDefault="000665AA" w:rsidP="000665AA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664B1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665AA" w:rsidRPr="00D664B1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664B1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Pr="00D664B1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664B1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664B1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002318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D664B1">
              <w:rPr>
                <w:color w:val="000000"/>
                <w:sz w:val="16"/>
                <w:szCs w:val="16"/>
              </w:rPr>
              <w:t>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664B1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bookmarkStart w:id="0" w:name="_GoBack" w:colFirst="9" w:colLast="9"/>
            <w:r>
              <w:rPr>
                <w:color w:val="000000"/>
                <w:sz w:val="16"/>
                <w:szCs w:val="16"/>
              </w:rPr>
              <w:t>Миролюбова Наталия Алексеевна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учитель </w:t>
            </w:r>
            <w:r>
              <w:rPr>
                <w:color w:val="000000"/>
                <w:sz w:val="16"/>
                <w:szCs w:val="16"/>
              </w:rPr>
              <w:lastRenderedPageBreak/>
              <w:t>английского языка, инженер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0665AA" w:rsidRPr="00D00D60" w:rsidRDefault="000665AA" w:rsidP="000665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bookmarkEnd w:id="0"/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Анцыферов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941D8">
              <w:rPr>
                <w:color w:val="000000"/>
                <w:sz w:val="16"/>
                <w:szCs w:val="16"/>
              </w:rPr>
              <w:t xml:space="preserve">Сергей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941D8">
              <w:rPr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423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2FBF">
              <w:rPr>
                <w:color w:val="000000"/>
                <w:sz w:val="16"/>
                <w:szCs w:val="16"/>
              </w:rPr>
              <w:t>Управление качеств</w:t>
            </w:r>
            <w:r>
              <w:rPr>
                <w:color w:val="000000"/>
                <w:sz w:val="16"/>
                <w:szCs w:val="16"/>
              </w:rPr>
              <w:t xml:space="preserve">ом продукции. Стандартизация. </w:t>
            </w:r>
            <w:r w:rsidRPr="001C2FBF">
              <w:rPr>
                <w:color w:val="000000"/>
                <w:sz w:val="16"/>
                <w:szCs w:val="16"/>
              </w:rPr>
              <w:t>Организация производства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1C2FBF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941D8">
              <w:rPr>
                <w:sz w:val="16"/>
                <w:szCs w:val="16"/>
              </w:rPr>
              <w:t xml:space="preserve">Современные подходы и методы в теории управления техническими системами, </w:t>
            </w:r>
            <w:proofErr w:type="gramStart"/>
            <w:r w:rsidRPr="00D941D8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>Электронно</w:t>
            </w:r>
            <w:proofErr w:type="gramEnd"/>
            <w:r w:rsidRPr="00D941D8">
              <w:rPr>
                <w:sz w:val="16"/>
                <w:szCs w:val="16"/>
              </w:rPr>
              <w:t>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>Оказание первой помощи, 2021</w:t>
            </w:r>
          </w:p>
        </w:tc>
        <w:tc>
          <w:tcPr>
            <w:tcW w:w="450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941D8">
              <w:rPr>
                <w:sz w:val="16"/>
                <w:szCs w:val="16"/>
              </w:rPr>
              <w:t>46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941D8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 xml:space="preserve">Минаева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941D8">
              <w:rPr>
                <w:color w:val="000000"/>
                <w:sz w:val="16"/>
                <w:szCs w:val="16"/>
              </w:rPr>
              <w:t xml:space="preserve">Ольга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941D8">
              <w:rPr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423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оптико-механик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941D8">
              <w:rPr>
                <w:sz w:val="16"/>
                <w:szCs w:val="16"/>
              </w:rPr>
              <w:t>Поверка и калибровка оптико-физических измерений,</w:t>
            </w:r>
            <w:proofErr w:type="gramStart"/>
            <w:r w:rsidRPr="00D941D8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>Современные</w:t>
            </w:r>
            <w:proofErr w:type="gramEnd"/>
            <w:r w:rsidRPr="00D941D8">
              <w:rPr>
                <w:sz w:val="16"/>
                <w:szCs w:val="16"/>
              </w:rPr>
              <w:t xml:space="preserve"> подходы и методы в теории управления техническими системами, 2021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 xml:space="preserve">Оказание первой помощи, 2021 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 xml:space="preserve">ГОСТ ISO/IEC 17025: «Общие требования к компетентности испытательных и калибровочных лабораторий, основные </w:t>
            </w:r>
            <w:r w:rsidRPr="00D941D8">
              <w:rPr>
                <w:sz w:val="16"/>
                <w:szCs w:val="16"/>
              </w:rPr>
              <w:lastRenderedPageBreak/>
              <w:t>положения и порядок перехода взаимосвязь с критериями аккредитации в России, 2021</w:t>
            </w:r>
          </w:p>
        </w:tc>
        <w:tc>
          <w:tcPr>
            <w:tcW w:w="450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941D8"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D941D8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941D8">
              <w:rPr>
                <w:color w:val="000000"/>
                <w:sz w:val="16"/>
                <w:szCs w:val="16"/>
              </w:rPr>
              <w:t>Садковская</w:t>
            </w:r>
            <w:proofErr w:type="spellEnd"/>
            <w:r w:rsidRPr="00D941D8">
              <w:rPr>
                <w:color w:val="000000"/>
                <w:sz w:val="16"/>
                <w:szCs w:val="16"/>
              </w:rPr>
              <w:t xml:space="preserve"> Наталия Евгеньевна</w:t>
            </w:r>
          </w:p>
        </w:tc>
        <w:tc>
          <w:tcPr>
            <w:tcW w:w="423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  магистратура, инженер-механик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941D8">
              <w:rPr>
                <w:sz w:val="16"/>
                <w:szCs w:val="16"/>
              </w:rPr>
              <w:t>1. Удостоверение о повышении квалификации 180000929520 от 13 февраля 2017 по программе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 xml:space="preserve"> «Актуальные вопросы профессиональной деятельности научно-педагогического работника МГТУ им. </w:t>
            </w:r>
            <w:proofErr w:type="spellStart"/>
            <w:r w:rsidRPr="00D941D8">
              <w:rPr>
                <w:sz w:val="16"/>
                <w:szCs w:val="16"/>
              </w:rPr>
              <w:t>Н.Э.Баумана</w:t>
            </w:r>
            <w:proofErr w:type="spellEnd"/>
            <w:r w:rsidRPr="00D941D8">
              <w:rPr>
                <w:sz w:val="16"/>
                <w:szCs w:val="16"/>
              </w:rPr>
              <w:t>»,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 xml:space="preserve"> 36 часов, ФГБОУ ВО «Московский государственный технический университет имени </w:t>
            </w:r>
            <w:proofErr w:type="spellStart"/>
            <w:r w:rsidRPr="00D941D8">
              <w:rPr>
                <w:sz w:val="16"/>
                <w:szCs w:val="16"/>
              </w:rPr>
              <w:t>Н.Э.Баумана</w:t>
            </w:r>
            <w:proofErr w:type="spellEnd"/>
            <w:r w:rsidRPr="00D941D8">
              <w:rPr>
                <w:sz w:val="16"/>
                <w:szCs w:val="16"/>
              </w:rPr>
              <w:t xml:space="preserve"> (национальный исследовательский университет)» 2. Удостоверение о повышении квалификации 771801808244 от 11 июля 2018 по программе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 xml:space="preserve"> «Проблемы подготовки кадров по приоритетным направлениям развития науки и техники»,</w:t>
            </w:r>
            <w:r>
              <w:rPr>
                <w:sz w:val="16"/>
                <w:szCs w:val="16"/>
              </w:rPr>
              <w:t xml:space="preserve">  </w:t>
            </w:r>
            <w:r w:rsidRPr="00D941D8">
              <w:rPr>
                <w:sz w:val="16"/>
                <w:szCs w:val="16"/>
              </w:rPr>
              <w:t xml:space="preserve"> 80 часов, ФГБОУ ВО «Московский авиационный институт (национальный исследовательский университет)»</w:t>
            </w:r>
          </w:p>
        </w:tc>
        <w:tc>
          <w:tcPr>
            <w:tcW w:w="450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941D8"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Сидорин Виктор Викторович</w:t>
            </w:r>
          </w:p>
        </w:tc>
        <w:tc>
          <w:tcPr>
            <w:tcW w:w="423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получению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  магистратура, инженер-конструктор-технолог радиоаппаратуры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941D8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Pr="00D941D8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941D8">
              <w:rPr>
                <w:sz w:val="16"/>
                <w:szCs w:val="16"/>
              </w:rPr>
              <w:t>45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695"/>
          <w:jc w:val="center"/>
        </w:trPr>
        <w:tc>
          <w:tcPr>
            <w:tcW w:w="501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Преображенская Елена Викторовна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аспирантрура</w:t>
            </w:r>
            <w:proofErr w:type="spellEnd"/>
            <w:r>
              <w:rPr>
                <w:color w:val="000000"/>
                <w:sz w:val="18"/>
                <w:szCs w:val="18"/>
              </w:rPr>
              <w:t>, инженер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Преподаватель как движущая сила развития университета, </w:t>
            </w:r>
            <w:proofErr w:type="gramStart"/>
            <w:r>
              <w:rPr>
                <w:sz w:val="16"/>
                <w:szCs w:val="16"/>
              </w:rPr>
              <w:t>2021  2</w:t>
            </w:r>
            <w:proofErr w:type="gramEnd"/>
            <w:r>
              <w:rPr>
                <w:sz w:val="16"/>
                <w:szCs w:val="16"/>
              </w:rPr>
              <w:t>. Современные аддитивные технологии в машиностроении, 2021  3.Электронно-информационная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   4. Оказание первой помощи, 2021</w:t>
            </w: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695"/>
          <w:jc w:val="center"/>
        </w:trPr>
        <w:tc>
          <w:tcPr>
            <w:tcW w:w="501" w:type="pct"/>
          </w:tcPr>
          <w:p w:rsidR="000665AA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Юдин Александр Викторович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Математик, системный программист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г., ООО «</w:t>
            </w:r>
            <w:proofErr w:type="spellStart"/>
            <w:r>
              <w:rPr>
                <w:sz w:val="16"/>
                <w:szCs w:val="16"/>
              </w:rPr>
              <w:t>РусБИТех</w:t>
            </w:r>
            <w:proofErr w:type="spellEnd"/>
            <w:r>
              <w:rPr>
                <w:sz w:val="16"/>
                <w:szCs w:val="16"/>
              </w:rPr>
              <w:t xml:space="preserve">-Астра», Базовое администрирование ОС </w:t>
            </w:r>
            <w:proofErr w:type="spellStart"/>
            <w:r>
              <w:rPr>
                <w:sz w:val="16"/>
                <w:szCs w:val="16"/>
              </w:rPr>
              <w:t>Astra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Linux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Special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Edition</w:t>
            </w:r>
            <w:proofErr w:type="spellEnd"/>
            <w:r>
              <w:rPr>
                <w:sz w:val="16"/>
                <w:szCs w:val="16"/>
              </w:rPr>
              <w:t xml:space="preserve"> 1.7. Графические инструменты, 32 ч.  2023 г., ФГАОУ ВО «РУДН», Технологии инклюзивного образования, 16 ч.  2022 г., ФГАОУ ВО «РУДН», Результативное использование информационных баз данных в учебно-научной деятельности НПР, 16 ч.  2022 г., Академия 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, X зимняя школа преподавателя – 2022: Партнерства в цифровом образовании 2022–2030, 72 ч.  2021 г. Санкт-Петербургский политехнический университет Петра Великого, Передовые </w:t>
            </w:r>
            <w:r>
              <w:rPr>
                <w:sz w:val="16"/>
                <w:szCs w:val="16"/>
              </w:rPr>
              <w:lastRenderedPageBreak/>
              <w:t>производственные технологии, 150 ч.  2020 г. ФГБУ «Федеральный институт промышленной собственности» совместно с АНО «Университет НТИ 20.35», «Интеллектуальная собственность в цифровой экономике: от заявки до внедрения», в рамках федерального проекта «Кадры для цифровой экономики», 24 ч.</w:t>
            </w: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695"/>
          <w:jc w:val="center"/>
        </w:trPr>
        <w:tc>
          <w:tcPr>
            <w:tcW w:w="501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Шамин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Математик-инженер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г., ФГБОУ ВО «МИРЭА - Российский технологический университет», Информационно-коммуникационные технологии, 24 ч</w:t>
            </w: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695"/>
          <w:jc w:val="center"/>
        </w:trPr>
        <w:tc>
          <w:tcPr>
            <w:tcW w:w="501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Аневский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Сергей  Иосифович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электронной техники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подходы и методы в теории управления техническими системами, </w:t>
            </w:r>
            <w:proofErr w:type="gramStart"/>
            <w:r>
              <w:rPr>
                <w:sz w:val="16"/>
                <w:szCs w:val="16"/>
              </w:rPr>
              <w:t>2022  Электронно</w:t>
            </w:r>
            <w:proofErr w:type="gramEnd"/>
            <w:r>
              <w:rPr>
                <w:sz w:val="16"/>
                <w:szCs w:val="16"/>
              </w:rPr>
              <w:t>-информационная среда. Применение электронного обучения и дистанционных образовательных технологий при реализации образовательных программ, 2022   Оказание первой помощи, 2022   Поверка и калибровка оптико-</w:t>
            </w:r>
            <w:r>
              <w:rPr>
                <w:sz w:val="16"/>
                <w:szCs w:val="16"/>
              </w:rPr>
              <w:lastRenderedPageBreak/>
              <w:t>физических измерений, 2020</w:t>
            </w: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695"/>
          <w:jc w:val="center"/>
        </w:trPr>
        <w:tc>
          <w:tcPr>
            <w:tcW w:w="501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Спиридонова   Александра   Александровна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Цифровые двойники изделий, </w:t>
            </w:r>
            <w:proofErr w:type="gramStart"/>
            <w:r>
              <w:rPr>
                <w:sz w:val="16"/>
                <w:szCs w:val="16"/>
              </w:rPr>
              <w:t>2023  Организация</w:t>
            </w:r>
            <w:proofErr w:type="gramEnd"/>
            <w:r>
              <w:rPr>
                <w:sz w:val="16"/>
                <w:szCs w:val="16"/>
              </w:rPr>
              <w:t xml:space="preserve"> деятельности аккредитованных и неаккредитованных лиц в условиях </w:t>
            </w:r>
            <w:proofErr w:type="spellStart"/>
            <w:r>
              <w:rPr>
                <w:sz w:val="16"/>
                <w:szCs w:val="16"/>
              </w:rPr>
              <w:t>импортонезависимости</w:t>
            </w:r>
            <w:proofErr w:type="spellEnd"/>
            <w:r>
              <w:rPr>
                <w:sz w:val="16"/>
                <w:szCs w:val="16"/>
              </w:rPr>
              <w:t xml:space="preserve"> и внедрения </w:t>
            </w:r>
            <w:proofErr w:type="spellStart"/>
            <w:r>
              <w:rPr>
                <w:sz w:val="16"/>
                <w:szCs w:val="16"/>
              </w:rPr>
              <w:t>рискориентированного</w:t>
            </w:r>
            <w:proofErr w:type="spellEnd"/>
            <w:r>
              <w:rPr>
                <w:sz w:val="16"/>
                <w:szCs w:val="16"/>
              </w:rPr>
              <w:t xml:space="preserve"> подхода, 2023  Цифровые технологии в преподавании профильных дисциплин, 2022  Оказание первой помощи, 2021     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         Современные подходы и методы в теории управления техническими системами, 2021  Цифровое обучение: методики, практики, инструменты, 2021       Автор цифрового учебного контента, 2020   Современный преподаватель дистанционного образования, 2020         Контроль и аттестация в дистанционном образовании, 2021</w:t>
            </w: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695"/>
          <w:jc w:val="center"/>
        </w:trPr>
        <w:tc>
          <w:tcPr>
            <w:tcW w:w="501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Фещенко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Валерий   Сергеевич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физик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подходы и методы в теории управления техническими системами, </w:t>
            </w:r>
            <w:proofErr w:type="gramStart"/>
            <w:r>
              <w:rPr>
                <w:sz w:val="16"/>
                <w:szCs w:val="16"/>
              </w:rPr>
              <w:t>2022  Электронно</w:t>
            </w:r>
            <w:proofErr w:type="gramEnd"/>
            <w:r>
              <w:rPr>
                <w:sz w:val="16"/>
                <w:szCs w:val="16"/>
              </w:rPr>
              <w:t xml:space="preserve">-информационная среда. </w:t>
            </w:r>
            <w:r>
              <w:rPr>
                <w:sz w:val="16"/>
                <w:szCs w:val="16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программ, 2022  Оказание первой помощи, 2022</w:t>
            </w: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170E64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665AA" w:rsidRPr="005F49F1" w:rsidTr="00766661">
        <w:trPr>
          <w:trHeight w:val="551"/>
          <w:jc w:val="center"/>
        </w:trPr>
        <w:tc>
          <w:tcPr>
            <w:tcW w:w="501" w:type="pct"/>
          </w:tcPr>
          <w:p w:rsidR="000665AA" w:rsidRDefault="000665AA" w:rsidP="000665A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Пушкин Павел Юрьевич</w:t>
            </w:r>
          </w:p>
        </w:tc>
        <w:tc>
          <w:tcPr>
            <w:tcW w:w="423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0665AA" w:rsidRDefault="000665AA" w:rsidP="000665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65AA" w:rsidRDefault="000665AA" w:rsidP="000665A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2.5.6 Технология машиностроения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665AA" w:rsidRPr="00E2276A" w:rsidRDefault="000665AA" w:rsidP="000665AA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665AA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1C215C"/>
    <w:rsid w:val="001C2FBF"/>
    <w:rsid w:val="001E13E9"/>
    <w:rsid w:val="0021506C"/>
    <w:rsid w:val="00216423"/>
    <w:rsid w:val="00221B47"/>
    <w:rsid w:val="002B407E"/>
    <w:rsid w:val="002B7761"/>
    <w:rsid w:val="002B7F91"/>
    <w:rsid w:val="00305327"/>
    <w:rsid w:val="00315992"/>
    <w:rsid w:val="00320F17"/>
    <w:rsid w:val="00323250"/>
    <w:rsid w:val="003360D7"/>
    <w:rsid w:val="00384F21"/>
    <w:rsid w:val="003B403D"/>
    <w:rsid w:val="003E2969"/>
    <w:rsid w:val="003E4652"/>
    <w:rsid w:val="003F5541"/>
    <w:rsid w:val="0041422A"/>
    <w:rsid w:val="004664B2"/>
    <w:rsid w:val="004D1CA7"/>
    <w:rsid w:val="00527401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E6097"/>
    <w:rsid w:val="006F1FC5"/>
    <w:rsid w:val="00710C10"/>
    <w:rsid w:val="007374C4"/>
    <w:rsid w:val="0074483B"/>
    <w:rsid w:val="00766661"/>
    <w:rsid w:val="00791D07"/>
    <w:rsid w:val="007C2BD8"/>
    <w:rsid w:val="007C57DF"/>
    <w:rsid w:val="00830C34"/>
    <w:rsid w:val="00863DD3"/>
    <w:rsid w:val="00882A57"/>
    <w:rsid w:val="0089406B"/>
    <w:rsid w:val="008E64E2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466F5"/>
    <w:rsid w:val="00B60176"/>
    <w:rsid w:val="00B761FA"/>
    <w:rsid w:val="00BA09C8"/>
    <w:rsid w:val="00BB01CE"/>
    <w:rsid w:val="00BB33CE"/>
    <w:rsid w:val="00BB654A"/>
    <w:rsid w:val="00BF39D2"/>
    <w:rsid w:val="00C06D0A"/>
    <w:rsid w:val="00C26CD8"/>
    <w:rsid w:val="00C45E13"/>
    <w:rsid w:val="00C528F1"/>
    <w:rsid w:val="00C53F8A"/>
    <w:rsid w:val="00C66080"/>
    <w:rsid w:val="00C672D9"/>
    <w:rsid w:val="00CE2E7D"/>
    <w:rsid w:val="00CE495C"/>
    <w:rsid w:val="00D00D60"/>
    <w:rsid w:val="00D13857"/>
    <w:rsid w:val="00D252E1"/>
    <w:rsid w:val="00D4199E"/>
    <w:rsid w:val="00D664B1"/>
    <w:rsid w:val="00D83DBE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FA30-0CB8-41CA-9E1E-937F9C2A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2024-11-15T11:21:00Z</dcterms:created>
  <dcterms:modified xsi:type="dcterms:W3CDTF">2024-11-15T14:30:00Z</dcterms:modified>
</cp:coreProperties>
</file>