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92626" w:rsidRPr="000A1513" w:rsidTr="00B92626">
        <w:trPr>
          <w:cantSplit/>
          <w:trHeight w:val="180"/>
        </w:trPr>
        <w:tc>
          <w:tcPr>
            <w:tcW w:w="5000" w:type="pct"/>
          </w:tcPr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7849F8E" wp14:editId="45E9D2D1">
                  <wp:extent cx="885825" cy="10096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626" w:rsidRPr="000A1513" w:rsidTr="00B92626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92626" w:rsidRPr="000A1513" w:rsidTr="00B92626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92626" w:rsidRDefault="00B92626" w:rsidP="00B9262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92626" w:rsidRDefault="00B92626" w:rsidP="00B9262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92626" w:rsidRDefault="00B92626" w:rsidP="00B9262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8FD3A14" wp14:editId="35A9F2F9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25EA8FB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92626" w:rsidRPr="005560D3" w:rsidTr="00B92626">
        <w:tc>
          <w:tcPr>
            <w:tcW w:w="2500" w:type="pct"/>
          </w:tcPr>
          <w:p w:rsidR="00B92626" w:rsidRPr="00B0472C" w:rsidRDefault="00B9262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92626" w:rsidRPr="005560D3" w:rsidRDefault="00B92626" w:rsidP="00225150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 xml:space="preserve"> Н.И. Прокопов</w:t>
            </w:r>
          </w:p>
          <w:p w:rsidR="00B92626" w:rsidRPr="005560D3" w:rsidRDefault="00B92626" w:rsidP="00DB387C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DB387C">
              <w:t>__</w:t>
            </w:r>
            <w:r w:rsidRPr="005560D3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92626" w:rsidRPr="005560D3" w:rsidRDefault="00B92626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5909D1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Информатика и вычислительная техника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DB387C" w:rsidP="00734DA7">
      <w:pPr>
        <w:widowControl/>
        <w:ind w:firstLine="0"/>
        <w:jc w:val="center"/>
      </w:pPr>
      <w:r w:rsidRPr="00DB387C">
        <w:t>Научная специальность</w:t>
      </w:r>
    </w:p>
    <w:p w:rsidR="00C5571B" w:rsidRPr="00BD501B" w:rsidRDefault="00890ED7" w:rsidP="00FB4D5F">
      <w:pPr>
        <w:widowControl/>
        <w:suppressAutoHyphens/>
        <w:ind w:firstLine="0"/>
        <w:jc w:val="center"/>
        <w:rPr>
          <w:b/>
        </w:rPr>
      </w:pPr>
      <w:r>
        <w:rPr>
          <w:rFonts w:eastAsia="Calibri"/>
          <w:b/>
          <w:lang w:eastAsia="x-none"/>
        </w:rPr>
        <w:t>2.3.4 «Управление в организационных системах»</w:t>
      </w:r>
    </w:p>
    <w:p w:rsidR="00C5571B" w:rsidRPr="00BD501B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E9785D" w:rsidRPr="00C806A2" w:rsidRDefault="00E9785D" w:rsidP="00734DA7">
      <w:pPr>
        <w:widowControl/>
        <w:ind w:firstLine="0"/>
        <w:jc w:val="center"/>
      </w:pPr>
    </w:p>
    <w:p w:rsidR="00C5571B" w:rsidRDefault="00C5571B" w:rsidP="00CE10A3">
      <w:pPr>
        <w:widowControl/>
        <w:ind w:firstLine="0"/>
      </w:pPr>
    </w:p>
    <w:p w:rsidR="00B92626" w:rsidRPr="00C806A2" w:rsidRDefault="00B92626" w:rsidP="00CE10A3">
      <w:pPr>
        <w:widowControl/>
        <w:ind w:firstLine="0"/>
      </w:pPr>
    </w:p>
    <w:p w:rsidR="00C5571B" w:rsidRDefault="00DB387C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E9785D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hyperlink r:id="rId9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DB387C">
        <w:rPr>
          <w:rFonts w:eastAsia="Calibri"/>
          <w:sz w:val="28"/>
          <w:szCs w:val="28"/>
          <w:lang w:eastAsia="x-none"/>
        </w:rPr>
        <w:t>научной специальности</w:t>
      </w:r>
      <w:r w:rsidR="00866C44">
        <w:rPr>
          <w:rFonts w:eastAsia="Calibri"/>
          <w:sz w:val="28"/>
          <w:szCs w:val="28"/>
          <w:lang w:eastAsia="x-none"/>
        </w:rPr>
        <w:t xml:space="preserve"> –</w:t>
      </w:r>
      <w:r w:rsidR="00FB4D5F">
        <w:rPr>
          <w:rFonts w:eastAsia="Calibri"/>
          <w:sz w:val="28"/>
          <w:szCs w:val="28"/>
          <w:lang w:eastAsia="x-none"/>
        </w:rPr>
        <w:t xml:space="preserve"> </w:t>
      </w:r>
      <w:r w:rsidR="00890ED7">
        <w:rPr>
          <w:rFonts w:eastAsia="Calibri"/>
          <w:sz w:val="28"/>
          <w:szCs w:val="28"/>
          <w:lang w:eastAsia="x-none"/>
        </w:rPr>
        <w:t>2.3.4 «Управление в организационных системах»</w:t>
      </w:r>
      <w:r w:rsidR="009500CA" w:rsidRPr="00E9785D">
        <w:rPr>
          <w:sz w:val="28"/>
          <w:szCs w:val="28"/>
        </w:rPr>
        <w:t>.</w:t>
      </w:r>
    </w:p>
    <w:p w:rsidR="0096673C" w:rsidRPr="00E9785D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hyperlink r:id="rId10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техника», </w:t>
      </w:r>
      <w:r w:rsidR="00DB387C">
        <w:rPr>
          <w:rFonts w:eastAsia="Calibri"/>
          <w:sz w:val="28"/>
          <w:szCs w:val="28"/>
          <w:lang w:eastAsia="x-none"/>
        </w:rPr>
        <w:t>научная специальность</w:t>
      </w:r>
      <w:r w:rsidR="00866C44">
        <w:rPr>
          <w:rFonts w:eastAsia="Calibri"/>
          <w:sz w:val="28"/>
          <w:szCs w:val="28"/>
          <w:lang w:eastAsia="x-none"/>
        </w:rPr>
        <w:t xml:space="preserve"> </w:t>
      </w:r>
      <w:r w:rsidR="00890ED7">
        <w:rPr>
          <w:rFonts w:eastAsia="Calibri"/>
          <w:sz w:val="28"/>
          <w:szCs w:val="28"/>
          <w:lang w:eastAsia="x-none"/>
        </w:rPr>
        <w:t>2.3.4 «Управление в организационных системах»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  <w:r w:rsidR="00866C44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383F85" w:rsidRDefault="00383F85" w:rsidP="00866C44">
            <w:pPr>
              <w:ind w:firstLine="0"/>
              <w:jc w:val="left"/>
            </w:pPr>
            <w:r>
              <w:t>-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383F85" w:rsidRDefault="00383F85" w:rsidP="00866C44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383F85" w:rsidRDefault="00383F85" w:rsidP="00866C44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866C44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rPr>
                <w:highlight w:val="yellow"/>
              </w:rPr>
            </w:pPr>
            <w:r w:rsidRPr="00D509C4">
              <w:rPr>
                <w:b/>
              </w:rPr>
              <w:t xml:space="preserve">УК-5 </w:t>
            </w:r>
            <w:r w:rsidRPr="00D509C4">
              <w:t>(</w:t>
            </w:r>
            <w:r w:rsidRPr="00D509C4">
              <w:rPr>
                <w:rStyle w:val="FontStyle28"/>
              </w:rPr>
              <w:t xml:space="preserve">способность следовать </w:t>
            </w:r>
            <w:r w:rsidRPr="00D509C4">
              <w:rPr>
                <w:rStyle w:val="FontStyle28"/>
              </w:rPr>
              <w:lastRenderedPageBreak/>
              <w:t>этическим нормам в профессиональной деятельности</w:t>
            </w:r>
            <w:r w:rsidRPr="00D509C4">
              <w:t>)</w:t>
            </w: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lastRenderedPageBreak/>
              <w:t>Знать</w:t>
            </w:r>
            <w:r w:rsidRPr="00D509C4">
              <w:t xml:space="preserve"> этические нормы профессиональной деятельности педагога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Уметь</w:t>
            </w:r>
            <w:r w:rsidRPr="00D509C4"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Владеть</w:t>
            </w:r>
            <w:r w:rsidRPr="00D509C4">
              <w:t xml:space="preserve"> </w:t>
            </w:r>
            <w:r>
              <w:t>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>ОПК-1</w:t>
            </w:r>
            <w:r>
              <w:rPr>
                <w:rFonts w:eastAsia="SimSun"/>
                <w:kern w:val="2"/>
                <w:lang w:eastAsia="x-none"/>
              </w:rPr>
              <w:t xml:space="preserve"> (</w:t>
            </w:r>
            <w:r>
              <w:rPr>
                <w:szCs w:val="28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  <w:r>
              <w:rPr>
                <w:rFonts w:eastAsia="SimSun"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Знать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Уметь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 xml:space="preserve">методологией теоретических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  <w:r>
              <w:t>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ОПК-2 (</w:t>
            </w:r>
            <w:r>
              <w:t>владение культурой научного исследования, в том числе с использованием современных информационных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383F85" w:rsidRDefault="00383F85" w:rsidP="00866C44">
            <w:pPr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383F85" w:rsidRDefault="00383F85" w:rsidP="00866C44">
            <w:pPr>
              <w:ind w:firstLine="0"/>
              <w:jc w:val="left"/>
            </w:pPr>
            <w:r>
              <w:lastRenderedPageBreak/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объективно оценивать результаты исследований и разработок, выполненных другими специалистами и в других научных учреждениях)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выделять и критически оценивать основные положения и идеи в научных текстах;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систематизации информации по теме исследования.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53362" w:rsidRPr="00A53362" w:rsidRDefault="00D74402" w:rsidP="00866C44">
            <w:pPr>
              <w:ind w:firstLine="0"/>
              <w:rPr>
                <w:spacing w:val="-2"/>
              </w:rPr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EA5FD9" w:rsidRPr="00F54916" w:rsidTr="00155F7E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A5FD9" w:rsidRDefault="00EA5FD9" w:rsidP="00EA5FD9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  <w:spacing w:val="-2"/>
              </w:rPr>
              <w:t>ПК-1</w:t>
            </w:r>
            <w:r>
              <w:rPr>
                <w:spacing w:val="-2"/>
              </w:rPr>
              <w:t xml:space="preserve"> (</w:t>
            </w:r>
            <w:r w:rsidRPr="00890ED7">
              <w:rPr>
                <w:spacing w:val="-2"/>
              </w:rPr>
              <w:t>владением методами разработки специального математического и программного обеспечения систем управления и механизмов принятия решений в социальных и экономических системах</w:t>
            </w:r>
            <w:r>
              <w:rPr>
                <w:spacing w:val="-2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EA5FD9" w:rsidRDefault="00EA5FD9" w:rsidP="00EA5FD9">
            <w:pPr>
              <w:ind w:firstLine="0"/>
              <w:rPr>
                <w:rFonts w:asciiTheme="minorHAnsi" w:eastAsia="SimSun" w:hAnsiTheme="minorHAnsi" w:cstheme="minorBidi"/>
                <w:kern w:val="2"/>
                <w:sz w:val="22"/>
                <w:szCs w:val="22"/>
                <w:lang w:eastAsia="x-none"/>
              </w:rPr>
            </w:pPr>
            <w:r>
              <w:rPr>
                <w:b/>
                <w:lang w:eastAsia="x-none"/>
              </w:rPr>
              <w:t xml:space="preserve">Знать </w:t>
            </w:r>
            <w:r>
              <w:t>современные подходы к разработке методологического аппарата исследования для решения новых научных задач в области управления в социальных и экономических системах</w:t>
            </w:r>
          </w:p>
        </w:tc>
      </w:tr>
      <w:tr w:rsidR="00EA5FD9" w:rsidRPr="00F54916" w:rsidTr="00155F7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A5FD9" w:rsidRPr="00964117" w:rsidRDefault="00EA5FD9" w:rsidP="00EA5FD9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EA5FD9" w:rsidRDefault="00EA5FD9" w:rsidP="00EA5FD9">
            <w:pPr>
              <w:ind w:firstLine="0"/>
              <w:rPr>
                <w:bCs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управления в социальных и экономических системах</w:t>
            </w:r>
          </w:p>
        </w:tc>
      </w:tr>
      <w:tr w:rsidR="00EA5FD9" w:rsidRPr="00F54916" w:rsidTr="00155F7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A5FD9" w:rsidRPr="00964117" w:rsidRDefault="00EA5FD9" w:rsidP="00EA5FD9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EA5FD9" w:rsidRPr="00A53362" w:rsidRDefault="00EA5FD9" w:rsidP="00EA5FD9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управления в социальных и </w:t>
            </w:r>
            <w:r>
              <w:lastRenderedPageBreak/>
              <w:t>экономических системах; способами разработки в фундаментальных и прикладных областях и систем управления, моделей и методов принятия решения, обработки информации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B56E87" w:rsidRPr="00D22691" w:rsidRDefault="00B56E87" w:rsidP="00882FD3">
      <w:pPr>
        <w:ind w:firstLine="0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lastRenderedPageBreak/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lastRenderedPageBreak/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 xml:space="preserve">Экзамен (государственный </w:t>
            </w:r>
            <w:r>
              <w:rPr>
                <w:i/>
              </w:rPr>
              <w:lastRenderedPageBreak/>
              <w:t>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lastRenderedPageBreak/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DB387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890ED7">
        <w:rPr>
          <w:rFonts w:eastAsia="Calibri"/>
          <w:sz w:val="28"/>
          <w:szCs w:val="28"/>
          <w:lang w:eastAsia="x-none"/>
        </w:rPr>
        <w:t>2.3.4 «Управление в организационных системах»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</w:t>
      </w:r>
      <w:r w:rsidRPr="00E65C9E">
        <w:rPr>
          <w:sz w:val="28"/>
          <w:szCs w:val="28"/>
        </w:rPr>
        <w:lastRenderedPageBreak/>
        <w:t>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DB387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890ED7">
        <w:rPr>
          <w:rFonts w:eastAsia="Calibri"/>
          <w:sz w:val="28"/>
          <w:szCs w:val="28"/>
          <w:lang w:eastAsia="x-none"/>
        </w:rPr>
        <w:t>2.3.4 «Управление в организационных системах»</w:t>
      </w:r>
      <w:r w:rsidR="00FB4D5F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полностью соответствовать программе подготовки научно-педагогических </w:t>
      </w:r>
      <w:r w:rsidRPr="003864FA">
        <w:rPr>
          <w:sz w:val="28"/>
          <w:szCs w:val="28"/>
        </w:rPr>
        <w:lastRenderedPageBreak/>
        <w:t>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DB387C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lastRenderedPageBreak/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методов научного познания и структуру научного знания; типы научной рациональности; основания и функции научной картины мира;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</w:t>
            </w:r>
            <w:r w:rsidRPr="001A50AC">
              <w:lastRenderedPageBreak/>
              <w:t>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6F01B4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принимать решения и выстраивать линию профессионального поведения с учетом этических норм, принятых в </w:t>
            </w:r>
            <w:r>
              <w:lastRenderedPageBreak/>
              <w:t>соответствующей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Знание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</w:p>
          <w:p w:rsidR="00911346" w:rsidRDefault="00911346" w:rsidP="00911346">
            <w:pPr>
              <w:ind w:firstLine="33"/>
            </w:pP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P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Умение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</w:pPr>
            <w:r>
              <w:rPr>
                <w:b/>
              </w:rPr>
              <w:t xml:space="preserve">Владение </w:t>
            </w:r>
            <w:r>
              <w:t xml:space="preserve">методологией теоретических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  <w:r>
              <w:t>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основы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достижения и результаты исследований и разработок в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11346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профессиональной деятельности;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выделять и критически оценивать основные положения и идеи в научных текстах;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>навыками систематизации информации по теме исследования.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01516B" w:rsidRPr="00B06A52" w:rsidTr="0084371B">
        <w:trPr>
          <w:trHeight w:val="240"/>
        </w:trPr>
        <w:tc>
          <w:tcPr>
            <w:tcW w:w="1668" w:type="dxa"/>
          </w:tcPr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1516B" w:rsidRDefault="0001516B" w:rsidP="0001516B">
            <w:pPr>
              <w:widowControl/>
              <w:ind w:firstLine="0"/>
              <w:rPr>
                <w:rFonts w:eastAsia="SimSun"/>
                <w:kern w:val="2"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 w:rsidR="00A53362">
              <w:t xml:space="preserve">современные подходы к разработке методологического аппарата исследования для решения новых научных </w:t>
            </w:r>
            <w:r w:rsidR="00A53362">
              <w:lastRenderedPageBreak/>
              <w:t>задач в области управления в социальных и экономических системах</w:t>
            </w:r>
          </w:p>
        </w:tc>
        <w:tc>
          <w:tcPr>
            <w:tcW w:w="1701" w:type="dxa"/>
          </w:tcPr>
          <w:p w:rsidR="000151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 w:rsidRPr="00237150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1516B" w:rsidRDefault="0001516B" w:rsidP="0001516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01516B" w:rsidRDefault="0001516B" w:rsidP="0001516B">
            <w:pPr>
              <w:contextualSpacing/>
              <w:rPr>
                <w:kern w:val="24"/>
              </w:rPr>
            </w:pPr>
          </w:p>
        </w:tc>
      </w:tr>
      <w:tr w:rsidR="0001516B" w:rsidRPr="00B06A52" w:rsidTr="0084371B">
        <w:trPr>
          <w:trHeight w:val="240"/>
        </w:trPr>
        <w:tc>
          <w:tcPr>
            <w:tcW w:w="1668" w:type="dxa"/>
          </w:tcPr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1516B" w:rsidRDefault="0001516B" w:rsidP="0001516B">
            <w:pPr>
              <w:ind w:firstLine="0"/>
            </w:pPr>
            <w:r>
              <w:rPr>
                <w:b/>
              </w:rPr>
              <w:t>Умение</w:t>
            </w:r>
            <w:r w:rsidR="00A53362">
              <w:t xml:space="preserve"> применять методологию теоретических и экспериментальных исследований в области управления в социальных и экономических системах</w:t>
            </w:r>
          </w:p>
        </w:tc>
        <w:tc>
          <w:tcPr>
            <w:tcW w:w="1701" w:type="dxa"/>
          </w:tcPr>
          <w:p w:rsidR="000151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1516B" w:rsidRDefault="0001516B" w:rsidP="0001516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01516B" w:rsidRPr="00B06A52" w:rsidTr="00B92626">
        <w:trPr>
          <w:trHeight w:val="240"/>
        </w:trPr>
        <w:tc>
          <w:tcPr>
            <w:tcW w:w="1668" w:type="dxa"/>
          </w:tcPr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1516B" w:rsidRDefault="0001516B" w:rsidP="00A5336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</w:t>
            </w:r>
            <w:r w:rsidR="00A53362" w:rsidRPr="00A53362">
              <w:t>методологией теоретич</w:t>
            </w:r>
            <w:r w:rsidR="00A53362">
              <w:t>еских и экспериментальных иссле</w:t>
            </w:r>
            <w:r w:rsidR="00A53362" w:rsidRPr="00A53362">
              <w:t>дований в области управления в социальных и экономических системах; способами разработки в фундаментальных и прикладных областях и систем управления, моде-лей и методов принятия решения, обработки информации</w:t>
            </w:r>
          </w:p>
        </w:tc>
        <w:tc>
          <w:tcPr>
            <w:tcW w:w="1701" w:type="dxa"/>
          </w:tcPr>
          <w:p w:rsidR="000151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1516B" w:rsidRDefault="0001516B" w:rsidP="0001516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911346" w:rsidRDefault="00911346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1134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91134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lastRenderedPageBreak/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DB387C" w:rsidRDefault="00DB387C" w:rsidP="00DB387C">
      <w:pPr>
        <w:pStyle w:val="af5"/>
        <w:ind w:left="709" w:firstLine="0"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</w:t>
      </w:r>
      <w:r w:rsidRPr="00317B25">
        <w:rPr>
          <w:sz w:val="28"/>
          <w:szCs w:val="28"/>
        </w:rPr>
        <w:lastRenderedPageBreak/>
        <w:t>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911346" w:rsidRDefault="00911346" w:rsidP="00911346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F5E34" w:rsidRPr="00A60828" w:rsidRDefault="00A6475C" w:rsidP="003C3CA8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1" w:history="1"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F5E34" w:rsidRPr="00A60828">
          <w:rPr>
            <w:rStyle w:val="a7"/>
            <w:color w:val="000000"/>
            <w:sz w:val="28"/>
            <w:szCs w:val="28"/>
          </w:rPr>
          <w:t>://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1F5E34" w:rsidRPr="00A60828">
        <w:rPr>
          <w:color w:val="000000"/>
          <w:sz w:val="28"/>
          <w:szCs w:val="28"/>
        </w:rPr>
        <w:t xml:space="preserve">  Мир психологии</w:t>
      </w:r>
    </w:p>
    <w:p w:rsidR="001F5E34" w:rsidRPr="00A60828" w:rsidRDefault="00A6475C" w:rsidP="003C3CA8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2" w:history="1"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F5E34" w:rsidRPr="00A60828">
          <w:rPr>
            <w:rStyle w:val="a7"/>
            <w:color w:val="000000"/>
            <w:sz w:val="28"/>
            <w:szCs w:val="28"/>
          </w:rPr>
          <w:t>://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1F5E34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F5E34" w:rsidRPr="00A60828" w:rsidRDefault="00A6475C" w:rsidP="003C3CA8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3" w:history="1">
        <w:r w:rsidR="001F5E34" w:rsidRPr="00A60828">
          <w:rPr>
            <w:sz w:val="28"/>
            <w:szCs w:val="28"/>
          </w:rPr>
          <w:t>http://flogiston.ru</w:t>
        </w:r>
      </w:hyperlink>
      <w:r w:rsidR="001F5E34" w:rsidRPr="00A60828">
        <w:rPr>
          <w:sz w:val="28"/>
          <w:szCs w:val="28"/>
        </w:rPr>
        <w:t xml:space="preserve"> </w:t>
      </w:r>
      <w:r w:rsidR="00B11E37">
        <w:rPr>
          <w:sz w:val="28"/>
          <w:szCs w:val="28"/>
        </w:rPr>
        <w:t>«</w:t>
      </w:r>
      <w:r w:rsidR="001F5E34" w:rsidRPr="00A60828">
        <w:rPr>
          <w:sz w:val="28"/>
          <w:szCs w:val="28"/>
        </w:rPr>
        <w:t>Флог</w:t>
      </w:r>
      <w:r w:rsidR="00BC3C51">
        <w:rPr>
          <w:sz w:val="28"/>
          <w:szCs w:val="28"/>
        </w:rPr>
        <w:t>истон. Психология из первых рук</w:t>
      </w:r>
      <w:r w:rsidR="00B11E37">
        <w:rPr>
          <w:sz w:val="28"/>
          <w:szCs w:val="28"/>
        </w:rPr>
        <w:t>»</w:t>
      </w:r>
      <w:r w:rsidR="00BC3C51">
        <w:rPr>
          <w:sz w:val="28"/>
          <w:szCs w:val="28"/>
        </w:rPr>
        <w:t>.</w:t>
      </w:r>
      <w:r w:rsidR="001F5E34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1F5E34" w:rsidRDefault="001F5E34" w:rsidP="003C3CA8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3C3CA8" w:rsidRDefault="00A6475C" w:rsidP="003C3CA8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4" w:history="1">
        <w:r w:rsidR="003C3CA8">
          <w:rPr>
            <w:rStyle w:val="a7"/>
            <w:sz w:val="28"/>
            <w:szCs w:val="28"/>
            <w:lang w:val="en-US"/>
          </w:rPr>
          <w:t>http</w:t>
        </w:r>
        <w:r w:rsidR="003C3CA8">
          <w:rPr>
            <w:rStyle w:val="a7"/>
            <w:sz w:val="28"/>
            <w:szCs w:val="28"/>
          </w:rPr>
          <w:t>://</w:t>
        </w:r>
        <w:r w:rsidR="003C3CA8">
          <w:rPr>
            <w:rStyle w:val="a7"/>
            <w:sz w:val="28"/>
            <w:szCs w:val="28"/>
            <w:lang w:val="en-US"/>
          </w:rPr>
          <w:t>iph</w:t>
        </w:r>
        <w:r w:rsidR="003C3CA8">
          <w:rPr>
            <w:rStyle w:val="a7"/>
            <w:sz w:val="28"/>
            <w:szCs w:val="28"/>
          </w:rPr>
          <w:t>.</w:t>
        </w:r>
        <w:r w:rsidR="003C3CA8">
          <w:rPr>
            <w:rStyle w:val="a7"/>
            <w:sz w:val="28"/>
            <w:szCs w:val="28"/>
            <w:lang w:val="en-US"/>
          </w:rPr>
          <w:t>ras</w:t>
        </w:r>
        <w:r w:rsidR="003C3CA8">
          <w:rPr>
            <w:rStyle w:val="a7"/>
            <w:sz w:val="28"/>
            <w:szCs w:val="28"/>
          </w:rPr>
          <w:t>.</w:t>
        </w:r>
        <w:r w:rsidR="003C3CA8">
          <w:rPr>
            <w:rStyle w:val="a7"/>
            <w:sz w:val="28"/>
            <w:szCs w:val="28"/>
            <w:lang w:val="en-US"/>
          </w:rPr>
          <w:t>ru</w:t>
        </w:r>
        <w:r w:rsidR="003C3CA8">
          <w:rPr>
            <w:rStyle w:val="a7"/>
            <w:sz w:val="28"/>
            <w:szCs w:val="28"/>
          </w:rPr>
          <w:t>/</w:t>
        </w:r>
        <w:r w:rsidR="003C3CA8">
          <w:rPr>
            <w:rStyle w:val="a7"/>
            <w:sz w:val="28"/>
            <w:szCs w:val="28"/>
            <w:lang w:val="en-US"/>
          </w:rPr>
          <w:t>enc</w:t>
        </w:r>
        <w:r w:rsidR="003C3CA8">
          <w:rPr>
            <w:rStyle w:val="a7"/>
            <w:sz w:val="28"/>
            <w:szCs w:val="28"/>
          </w:rPr>
          <w:t>.</w:t>
        </w:r>
        <w:r w:rsidR="003C3CA8">
          <w:rPr>
            <w:rStyle w:val="a7"/>
            <w:sz w:val="28"/>
            <w:szCs w:val="28"/>
            <w:lang w:val="en-US"/>
          </w:rPr>
          <w:t>htm</w:t>
        </w:r>
      </w:hyperlink>
      <w:r w:rsidR="003C3CA8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3C3CA8" w:rsidRDefault="00A6475C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5" w:history="1"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3C3CA8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3C3CA8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3C3CA8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3C3CA8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3C3CA8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3C3CA8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3C3CA8" w:rsidRDefault="00A6475C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6" w:history="1">
        <w:r w:rsidR="003C3CA8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3C3CA8">
        <w:rPr>
          <w:rFonts w:eastAsia="Calibri"/>
          <w:b/>
          <w:sz w:val="28"/>
          <w:szCs w:val="28"/>
          <w:lang w:eastAsia="en-US"/>
        </w:rPr>
        <w:t xml:space="preserve"> </w:t>
      </w:r>
      <w:r w:rsidR="003C3CA8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3C3CA8" w:rsidRDefault="003C3CA8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7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3C3CA8" w:rsidRDefault="003C3CA8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C3CA8" w:rsidRDefault="003C3CA8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9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C3CA8" w:rsidRDefault="003C3CA8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20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911346" w:rsidRDefault="00911346" w:rsidP="003C3CA8">
      <w:pPr>
        <w:pStyle w:val="af5"/>
        <w:ind w:left="709" w:firstLine="0"/>
        <w:rPr>
          <w:sz w:val="28"/>
          <w:szCs w:val="28"/>
        </w:rPr>
      </w:pPr>
    </w:p>
    <w:p w:rsidR="003C3CA8" w:rsidRPr="00BC3C51" w:rsidRDefault="003C3CA8" w:rsidP="00911346">
      <w:pPr>
        <w:pStyle w:val="af5"/>
        <w:ind w:left="709" w:firstLine="0"/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9E715C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911346" w:rsidRPr="00D74402" w:rsidRDefault="00911346" w:rsidP="009E715C">
      <w:pPr>
        <w:widowControl/>
        <w:ind w:firstLine="709"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DB387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890ED7">
        <w:rPr>
          <w:rFonts w:eastAsia="Calibri"/>
          <w:sz w:val="28"/>
          <w:szCs w:val="28"/>
          <w:lang w:eastAsia="x-none"/>
        </w:rPr>
        <w:t>2.3.4 «Управление в организационных системах»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75C" w:rsidRDefault="00A6475C" w:rsidP="00E76C7A">
      <w:r>
        <w:separator/>
      </w:r>
    </w:p>
  </w:endnote>
  <w:endnote w:type="continuationSeparator" w:id="0">
    <w:p w:rsidR="00A6475C" w:rsidRDefault="00A6475C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75C" w:rsidRDefault="00A6475C" w:rsidP="00E76C7A">
      <w:r>
        <w:separator/>
      </w:r>
    </w:p>
  </w:footnote>
  <w:footnote w:type="continuationSeparator" w:id="0">
    <w:p w:rsidR="00A6475C" w:rsidRDefault="00A6475C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70724E4"/>
    <w:multiLevelType w:val="hybridMultilevel"/>
    <w:tmpl w:val="25F0DB28"/>
    <w:numStyleLink w:val="a2"/>
  </w:abstractNum>
  <w:abstractNum w:abstractNumId="25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0"/>
  </w:num>
  <w:num w:numId="5">
    <w:abstractNumId w:val="17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2"/>
  </w:num>
  <w:num w:numId="11">
    <w:abstractNumId w:val="36"/>
  </w:num>
  <w:num w:numId="12">
    <w:abstractNumId w:val="20"/>
  </w:num>
  <w:num w:numId="13">
    <w:abstractNumId w:val="5"/>
  </w:num>
  <w:num w:numId="14">
    <w:abstractNumId w:val="26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5"/>
  </w:num>
  <w:num w:numId="20">
    <w:abstractNumId w:val="29"/>
  </w:num>
  <w:num w:numId="21">
    <w:abstractNumId w:val="18"/>
  </w:num>
  <w:num w:numId="22">
    <w:abstractNumId w:val="21"/>
  </w:num>
  <w:num w:numId="23">
    <w:abstractNumId w:val="38"/>
  </w:num>
  <w:num w:numId="24">
    <w:abstractNumId w:val="7"/>
  </w:num>
  <w:num w:numId="25">
    <w:abstractNumId w:val="37"/>
  </w:num>
  <w:num w:numId="26">
    <w:abstractNumId w:val="16"/>
  </w:num>
  <w:num w:numId="27">
    <w:abstractNumId w:val="6"/>
  </w:num>
  <w:num w:numId="28">
    <w:abstractNumId w:val="32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3"/>
  </w:num>
  <w:num w:numId="39">
    <w:abstractNumId w:val="39"/>
  </w:num>
  <w:num w:numId="40">
    <w:abstractNumId w:val="28"/>
  </w:num>
  <w:num w:numId="41">
    <w:abstractNumId w:val="24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15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1048F"/>
    <w:rsid w:val="0001516B"/>
    <w:rsid w:val="000213A7"/>
    <w:rsid w:val="00021492"/>
    <w:rsid w:val="00021F7E"/>
    <w:rsid w:val="00023292"/>
    <w:rsid w:val="000306E1"/>
    <w:rsid w:val="00042DA4"/>
    <w:rsid w:val="00043C58"/>
    <w:rsid w:val="00044B3A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2558"/>
    <w:rsid w:val="00083754"/>
    <w:rsid w:val="00085D78"/>
    <w:rsid w:val="000913C1"/>
    <w:rsid w:val="00094071"/>
    <w:rsid w:val="00094E79"/>
    <w:rsid w:val="00097CD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16D8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25150"/>
    <w:rsid w:val="00234154"/>
    <w:rsid w:val="00240BE7"/>
    <w:rsid w:val="00241429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21FC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83F85"/>
    <w:rsid w:val="00396E37"/>
    <w:rsid w:val="0039700E"/>
    <w:rsid w:val="00397D83"/>
    <w:rsid w:val="003A0400"/>
    <w:rsid w:val="003A0F8F"/>
    <w:rsid w:val="003B0E99"/>
    <w:rsid w:val="003C3CA8"/>
    <w:rsid w:val="003C55BB"/>
    <w:rsid w:val="003C7431"/>
    <w:rsid w:val="003D0D96"/>
    <w:rsid w:val="003D23C1"/>
    <w:rsid w:val="003D33EF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871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9D1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86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71B"/>
    <w:rsid w:val="00845A14"/>
    <w:rsid w:val="00846B3E"/>
    <w:rsid w:val="00847FFB"/>
    <w:rsid w:val="00850645"/>
    <w:rsid w:val="00851653"/>
    <w:rsid w:val="00853729"/>
    <w:rsid w:val="00856FCB"/>
    <w:rsid w:val="008632EF"/>
    <w:rsid w:val="00866C44"/>
    <w:rsid w:val="0087255A"/>
    <w:rsid w:val="00876AB2"/>
    <w:rsid w:val="00882FD3"/>
    <w:rsid w:val="00890CAF"/>
    <w:rsid w:val="00890ED7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346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4493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2641E"/>
    <w:rsid w:val="00A3421D"/>
    <w:rsid w:val="00A359AA"/>
    <w:rsid w:val="00A449C5"/>
    <w:rsid w:val="00A463FE"/>
    <w:rsid w:val="00A53362"/>
    <w:rsid w:val="00A54BC2"/>
    <w:rsid w:val="00A554C2"/>
    <w:rsid w:val="00A56742"/>
    <w:rsid w:val="00A6056F"/>
    <w:rsid w:val="00A6475C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3A79"/>
    <w:rsid w:val="00AE640F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6E87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0DE1"/>
    <w:rsid w:val="00B92626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D501B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11C2"/>
    <w:rsid w:val="00CB6DC0"/>
    <w:rsid w:val="00CC5558"/>
    <w:rsid w:val="00CD1758"/>
    <w:rsid w:val="00CD4218"/>
    <w:rsid w:val="00CE041C"/>
    <w:rsid w:val="00CE068D"/>
    <w:rsid w:val="00CE10A3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33455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387C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DF7E4D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9785D"/>
    <w:rsid w:val="00EA2516"/>
    <w:rsid w:val="00EA28F7"/>
    <w:rsid w:val="00EA335C"/>
    <w:rsid w:val="00EA3AAE"/>
    <w:rsid w:val="00EA5FD9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4D5F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302A40-C36D-4505-88F4-5D3DA21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1134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logiston.ru" TargetMode="External"/><Relationship Id="rId18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syhistory.ru" TargetMode="External"/><Relationship Id="rId17" Type="http://schemas.openxmlformats.org/officeDocument/2006/relationships/hyperlink" Target="http://www.governmen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phil.ru/" TargetMode="External"/><Relationship Id="rId20" Type="http://schemas.openxmlformats.org/officeDocument/2006/relationships/hyperlink" Target="http://www.ra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cholagy.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h.ras.ru/elib.htm" TargetMode="External"/><Relationship Id="rId10" Type="http://schemas.openxmlformats.org/officeDocument/2006/relationships/hyperlink" Target="http://ivo.garant.ru/document?id=70380868&amp;sub=120601" TargetMode="External"/><Relationship Id="rId19" Type="http://schemas.openxmlformats.org/officeDocument/2006/relationships/hyperlink" Target="http://vak.ed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80868&amp;sub=120601" TargetMode="External"/><Relationship Id="rId14" Type="http://schemas.openxmlformats.org/officeDocument/2006/relationships/hyperlink" Target="http://iph.ras.ru/enc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47EB7-AA70-4947-9AA3-4F314192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8438</Words>
  <Characters>48103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2018-03-20T12:07:00Z</cp:lastPrinted>
  <dcterms:created xsi:type="dcterms:W3CDTF">2021-12-18T15:29:00Z</dcterms:created>
  <dcterms:modified xsi:type="dcterms:W3CDTF">2021-12-18T15:29:00Z</dcterms:modified>
</cp:coreProperties>
</file>